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مكى بن أبي محمد الدمشقى عرف بابن الرحاجية.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مكى بن أبي محمد الدمشقى عرف بابن الرحاجية.
</w:t>
      </w:r>
    </w:p>
    <w:p>
      <w:pPr/>
      <w:r>
        <w:rPr/>
        <w:t xml:space="preserve">مكى بن أبي محمد الدمشقى عرف بابن الرحاجية. </w:t>
      </w:r>
    </w:p>
    <w:p/>
    <w:p>
      <w:pPr/>
      <w:r>
        <w:rPr/>
        <w:t xml:space="preserve">نظم المهذب في قصيدة رأيتها سماها ’’البديعة في أحكام الشريعة’’ وامتدح الملك العادل ووزيره ابن شكر، مات كهلاً سنة خمس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2026-10-07T05:50:08+03:00</dcterms:created>
  <dcterms:modified xsi:type="dcterms:W3CDTF">2026-10-07T05:50:08+03:00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