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أحمد.
</w:t>
      </w:r>
    </w:p>
    <w:p>
      <w:pPr/>
      <w:r>
        <w:rPr/>
        <w:t xml:space="preserve">محمد بن جعفر بن أحمد. </w:t>
      </w:r>
    </w:p>
    <w:p/>
    <w:p>
      <w:pPr/>
      <w:r>
        <w:rPr/>
        <w:t xml:space="preserve">قاضي القضاة، أبو الحسن الهاشمي البغدادي، تفقه على ابن الخل، عزل في قضية أتهم فيها بخمسين دينار، فاللَّه أعلم، مات سنة خمس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2026-10-07T06:27:36+03:00</dcterms:created>
  <dcterms:modified xsi:type="dcterms:W3CDTF">2026-10-07T06:27:36+03:00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