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الحافظ أبي القاسم بن عساكر بهاء الدين أبو محمد.
</w:t>
      </w:r>
    </w:p>
    <w:p>
      <w:pPr>
        <w:jc w:val="start"/>
        <w:bidi/>
      </w:pPr>
      <w:r>
        <w:rPr>
          <w:rFonts w:ascii="arial" w:hAnsi="arial" w:eastAsia="arial" w:cs="arial"/>
          <w:sz w:val="28"/>
          <w:szCs w:val="28"/>
          <w:b w:val="1"/>
          <w:bCs w:val="1"/>
          <w:rtl/>
        </w:rPr>
        <w:t xml:space="preserve">القاسم بن الحافظ أبي القاسم بن عساكر بهاء الدين أبو محمد.
</w:t>
      </w:r>
    </w:p>
    <w:p>
      <w:pPr/>
      <w:r>
        <w:rPr/>
        <w:t xml:space="preserve">القاسم بن الحافظ أبي القاسم بن عساكر بهاء الدين أبو محمد. </w:t>
      </w:r>
    </w:p>
    <w:p/>
    <w:p>
      <w:pPr/>
      <w:r>
        <w:rPr/>
        <w:t xml:space="preserve">سمع من أبيه وغيره وأجاز له أكثر شيوخ والده، وكتب الكثير حتى أنه كتب تاريخ والده مرتين، وكان حافظاً، وله كتاب ’’فضل الحرم’’، و’’فضل المدينة’’، و’’فضل المسجد الأقصى’’ وأملى كثيراً وحدث، سمع منه خلق منهم الحافظ علي بن المفضل المقدسى ووصفه بالحفظ، ولى النورية ولم يتناول من معلومها شيئاً، وكان ناصراً للسنة مجدّاً في إماتة البدعة، ودخل مصر وانتفع به أهلها، مات سنة 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2026-10-07T07:07:03+03:00</dcterms:created>
  <dcterms:modified xsi:type="dcterms:W3CDTF">2026-10-07T07:07:03+03:00</dcterms:modified>
</cp:coreProperties>
</file>

<file path=docProps/custom.xml><?xml version="1.0" encoding="utf-8"?>
<Properties xmlns="http://schemas.openxmlformats.org/officeDocument/2006/custom-properties" xmlns:vt="http://schemas.openxmlformats.org/officeDocument/2006/docPropsVTypes"/>
</file>