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البركات هبة اللَّه البغدادي.
</w:t>
      </w:r>
    </w:p>
    <w:p>
      <w:pPr>
        <w:jc w:val="start"/>
        <w:bidi/>
      </w:pPr>
      <w:r>
        <w:rPr>
          <w:rFonts w:ascii="arial" w:hAnsi="arial" w:eastAsia="arial" w:cs="arial"/>
          <w:sz w:val="28"/>
          <w:szCs w:val="28"/>
          <w:b w:val="1"/>
          <w:bCs w:val="1"/>
          <w:rtl/>
        </w:rPr>
        <w:t xml:space="preserve">علي بن أبي البركات هبة اللَّه البغدادي.
</w:t>
      </w:r>
    </w:p>
    <w:p>
      <w:pPr/>
      <w:r>
        <w:rPr/>
        <w:t xml:space="preserve">علي بن أبي البركات هبة اللَّه البغدادي. </w:t>
      </w:r>
    </w:p>
    <w:p/>
    <w:p>
      <w:pPr/>
      <w:r>
        <w:rPr/>
        <w:t xml:space="preserve">قاضي القضاة بها ووزيرها، تفقه على أبي القاسم بن فضلان، مات سنة ثلاث وتسعين وخمسمائة عن خمس وخمسين سنة. وكان أولاً يخاطب بأقضى القضاة، ثم لما مات أبو الحسن الدامغاني ولى قضاء القضاة فخوطب بذلك، وهذا يدل على أن هذا الاصطلاح بين هاتين اللفظتين قديم.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2026-10-07T06:48:52+03:00</dcterms:created>
  <dcterms:modified xsi:type="dcterms:W3CDTF">2026-10-07T06:48:52+03:00</dcterms:modified>
</cp:coreProperties>
</file>

<file path=docProps/custom.xml><?xml version="1.0" encoding="utf-8"?>
<Properties xmlns="http://schemas.openxmlformats.org/officeDocument/2006/custom-properties" xmlns:vt="http://schemas.openxmlformats.org/officeDocument/2006/docPropsVTypes"/>
</file>