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عبد اللَّه بن أبي صالح محمد البسطامى أبو علي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عبد اللَّه بن أبي صالح محمد البسطامى أبو علي
</w:t>
      </w:r>
    </w:p>
    <w:p>
      <w:pPr/>
      <w:r>
        <w:rPr/>
        <w:t xml:space="preserve">محمد بن عبد اللَّه بن أبي صالح محمد البسطامى أبو علي </w:t>
      </w:r>
    </w:p>
    <w:p/>
    <w:p>
      <w:pPr/>
      <w:r>
        <w:rPr/>
        <w:t xml:space="preserve">المعروف بإمام بغداد، تفقه على الكيا، ورحل وناظر، وعنه ابن السمعاني، مات ببلخ سنة ثمان وأربعين وخمسمائة، ومن شعره:</w:t>
      </w:r>
    </w:p>
    <w:p/>
    <w:p>
      <w:pPr>
        <w:jc w:val="center"/>
      </w:pPr>
      <w:r>
        <w:rPr>
          <w:color w:val="ff0000"/>
        </w:rPr>
        <w:t xml:space="preserve">إذا كنت في دار القناعة ثاوياً</w:t>
      </w:r>
      <w:r>
        <w:rPr>
          <w:color w:val="ff0000"/>
        </w:rPr>
        <w:t xml:space="preserve">      </w:t>
      </w:r>
      <w:r>
        <w:rPr>
          <w:color w:val="ff0000"/>
        </w:rPr>
        <w:t xml:space="preserve">فلذلك كنزٌ في يدك عتيدُ</w:t>
      </w:r>
    </w:p>
    <w:p/>
    <w:p>
      <w:pPr>
        <w:jc w:val="center"/>
      </w:pPr>
      <w:r>
        <w:rPr>
          <w:color w:val="ff0000"/>
        </w:rPr>
        <w:t xml:space="preserve">وإن ساءك الآتى بما لا تُريدُه</w:t>
      </w:r>
      <w:r>
        <w:rPr>
          <w:color w:val="ff0000"/>
        </w:rPr>
        <w:t xml:space="preserve">      </w:t>
      </w:r>
      <w:r>
        <w:rPr>
          <w:color w:val="ff0000"/>
        </w:rPr>
        <w:t xml:space="preserve">فذلك همٌ لا يزال يزيدُ</w:t>
      </w:r>
    </w:p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العقد المذهب في طبقات حملة المذهب،(دار الكتب العلمية، بيروت - لبنان،1997،ط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2026-08-05T19:14:52+03:00</dcterms:created>
  <dcterms:modified xsi:type="dcterms:W3CDTF">2026-08-05T19:14:52+03:00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