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الزيدى البغدادي.
</w:t>
      </w:r>
    </w:p>
    <w:p>
      <w:pPr>
        <w:jc w:val="start"/>
        <w:bidi/>
      </w:pPr>
      <w:r>
        <w:rPr>
          <w:rFonts w:ascii="arial" w:hAnsi="arial" w:eastAsia="arial" w:cs="arial"/>
          <w:sz w:val="28"/>
          <w:szCs w:val="28"/>
          <w:b w:val="1"/>
          <w:bCs w:val="1"/>
          <w:rtl/>
        </w:rPr>
        <w:t xml:space="preserve">علي بن أحمد بن الزيدى البغدادي.
</w:t>
      </w:r>
    </w:p>
    <w:p>
      <w:pPr/>
      <w:r>
        <w:rPr/>
        <w:t xml:space="preserve">علي بن أحمد بن الزيدى البغدادي. </w:t>
      </w:r>
    </w:p>
    <w:p/>
    <w:p>
      <w:pPr/>
      <w:r>
        <w:rPr/>
        <w:t xml:space="preserve">الإمام أحد الأعيان يتصل نسبه بزيد ين علي بن الحسين بن علي وصنف كتباً كثيرة هو وصاحب له يسمي صبيحاً وكان على طريقة جميلة وصحبه أكيده سمع ابن ناصر وغيره، وبالغ في الطلب، ومن كلامه: اجعل النوافل كالفرائض والمعاصى كالكفر والشهوات كالسموم ومخالطة الناس كالنار والغذاء كالدواء. حدث باليسير لأنه مات شاباً قبل وقت التحديث، كان مولده سنة تسع وعشرين وخمسمائة، ومات سنة خمس وسبعين.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2026-08-05T17:57:47+03:00</dcterms:created>
  <dcterms:modified xsi:type="dcterms:W3CDTF">2026-08-05T17:57:47+03:00</dcterms:modified>
</cp:coreProperties>
</file>

<file path=docProps/custom.xml><?xml version="1.0" encoding="utf-8"?>
<Properties xmlns="http://schemas.openxmlformats.org/officeDocument/2006/custom-properties" xmlns:vt="http://schemas.openxmlformats.org/officeDocument/2006/docPropsVTypes"/>
</file>