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اللَّه بن حمزة أبو الفرج الكرمانى خطيب دومه.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اللَّه بن حمزة أبو الفرج الكرمانى خطيب دومه.
</w:t>
      </w:r>
    </w:p>
    <w:p>
      <w:pPr/>
      <w:r>
        <w:rPr/>
        <w:t xml:space="preserve">عبد اللَّه بن حمزة أبو الفرج الكرمانى خطيب دومه. </w:t>
      </w:r>
    </w:p>
    <w:p/>
    <w:p>
      <w:pPr/>
      <w:r>
        <w:rPr/>
        <w:t xml:space="preserve">تفقه على جمال الإسلام ابن المسلم، وكان صالحاً سمع وحدَّث، مات سنة إحدى وسبعين وخمسمائة وهو في عشر الثمانين.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2026-10-07T07:57:57+03:00</dcterms:created>
  <dcterms:modified xsi:type="dcterms:W3CDTF">2026-10-07T07:57:57+03:00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