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العلامة أبو الرضا الأسدى الطرازي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العلامة أبو الرضا الأسدى الطرازي
</w:t>
      </w:r>
    </w:p>
    <w:p>
      <w:pPr/>
      <w:r>
        <w:rPr/>
        <w:t xml:space="preserve">محمد بن محمود العلامة أبو الرضا الأسدى الطرازي </w:t>
      </w:r>
    </w:p>
    <w:p/>
    <w:p>
      <w:pPr/>
      <w:r>
        <w:rPr/>
        <w:t xml:space="preserve">تفقه على أخى البغوى، مات سنة تسع وسبعين وخمسمائة، وولد ببخارى سنة سبع وتسعين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2026-08-05T21:30:38+03:00</dcterms:created>
  <dcterms:modified xsi:type="dcterms:W3CDTF">2026-08-05T21:30:38+03:00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