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العلامة أبو الرضا الأسدى الطرازي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العلامة أبو الرضا الأسدى الطرازي
</w:t>
      </w:r>
    </w:p>
    <w:p>
      <w:pPr/>
      <w:r>
        <w:rPr/>
        <w:t xml:space="preserve">محمد بن محمود العلامة أبو الرضا الأسدى الطرازي </w:t>
      </w:r>
    </w:p>
    <w:p/>
    <w:p>
      <w:pPr/>
      <w:r>
        <w:rPr/>
        <w:t xml:space="preserve">تفقه على أخى البغوى، مات سنة تسع وسبعين وخمسمائة، وولد ببخارى سنة سبع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2026-10-07T08:02:04+03:00</dcterms:created>
  <dcterms:modified xsi:type="dcterms:W3CDTF">2026-10-07T08:02:04+03:00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