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منصور بن محمد أبو القاسم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محمد أبو القاسم الهروي
</w:t>
      </w:r>
    </w:p>
    <w:p>
      <w:pPr/>
      <w:r>
        <w:rPr/>
        <w:t xml:space="preserve">منصور بن محمد أبو القاسم الهروي </w:t>
      </w:r>
    </w:p>
    <w:p/>
    <w:p>
      <w:pPr/>
      <w:r>
        <w:rPr/>
        <w:t xml:space="preserve">مات سنة سبع وعشرين وخمسمائة، ذكره الجرجانى وعظَّمه، ومات قبله بنحو أربعين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2026-10-07T10:01:17+03:00</dcterms:created>
  <dcterms:modified xsi:type="dcterms:W3CDTF">2026-10-07T10:01:17+03:00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