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بن محمد أبو تمام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بن محمد أبو تمام الواسطي
</w:t>
      </w:r>
    </w:p>
    <w:p>
      <w:pPr/>
      <w:r>
        <w:rPr/>
        <w:t xml:space="preserve">محمد بن الحسن بن محمد أبو تمام الواسطي </w:t>
      </w:r>
    </w:p>
    <w:p/>
    <w:p>
      <w:pPr/>
      <w:r>
        <w:rPr/>
        <w:t xml:space="preserve">قال ابن باطيش: تفقه على جده أبي علي الفارقي وتقضَّى بواسط نيابة عن الدامغانى إلى أن مات بها سنة نيف وخمسين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2026-10-07T11:02:38+03:00</dcterms:created>
  <dcterms:modified xsi:type="dcterms:W3CDTF">2026-10-07T11:02:38+03:00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