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الواحد بن محمد بن عمر أبو عمرو الأشجردي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الواحد بن محمد بن عمر أبو عمرو الأشجردي
</w:t>
      </w:r>
    </w:p>
    <w:p>
      <w:pPr/>
      <w:r>
        <w:rPr/>
        <w:t xml:space="preserve">عبد الواحد بن محمد بن عمر أبو عمرو الأشجردي </w:t>
      </w:r>
    </w:p>
    <w:p/>
    <w:p>
      <w:pPr/>
      <w:r>
        <w:rPr/>
        <w:t xml:space="preserve">قرية من قرى كنكور بين همدان وكرمان شاهان، روى عن الخطيب، ومات بكنكور سنة اثنين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2026-10-07T11:53:49+03:00</dcterms:created>
  <dcterms:modified xsi:type="dcterms:W3CDTF">2026-10-07T11:53:49+03:00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