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هبة اللَّه بن ثابت أبو نصر البندنيجي
</w:t>
      </w:r>
    </w:p>
    <w:p>
      <w:pPr>
        <w:jc w:val="start"/>
        <w:bidi/>
      </w:pPr>
      <w:r>
        <w:rPr>
          <w:rFonts w:ascii="arial" w:hAnsi="arial" w:eastAsia="arial" w:cs="arial"/>
          <w:sz w:val="28"/>
          <w:szCs w:val="28"/>
          <w:b w:val="1"/>
          <w:bCs w:val="1"/>
          <w:rtl/>
        </w:rPr>
        <w:t xml:space="preserve">محمد بن هبة اللَّه بن ثابت أبو نصر البندنيجي
</w:t>
      </w:r>
    </w:p>
    <w:p>
      <w:pPr/>
      <w:r>
        <w:rPr/>
        <w:t xml:space="preserve">محمد بن هبة اللَّه بن ثابت أبو نصر البندنيجي </w:t>
      </w:r>
    </w:p>
    <w:p/>
    <w:p>
      <w:pPr/>
      <w:r>
        <w:rPr/>
        <w:t xml:space="preserve">فقيه الحرم؛ لأنه جاور مكة أربعين سنة، كان يقرأ كل أسبوع ستة آلاف </w:t>
      </w:r>
    </w:p>
    <w:p>
      <w:pPr/>
      <w:r>
        <w:rPr>
          <w:color w:val="0000ff"/>
        </w:rPr>
        <w:t xml:space="preserve">{قُلْ هُوَ اللَّهُ أَحَدٌ}</w:t>
      </w:r>
    </w:p>
    <w:p>
      <w:pPr/>
      <w:r>
        <w:rPr/>
        <w:t xml:space="preserve"> ويعتمر في رمضان ثلاثين عمرة، وهو ضرير يؤخذ بيده، مات سنة خمس وتسعين وأربعمائة، وقد نيف على الثمانين، وهو من أكابر أصحاب الشيخ أبي إسحاق الشيرازي، وقد أسلفنا في الكنى في آخر الطبقة الأولى في حرف النون بأبسط من هذا.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2026-08-05T18:18:37+03:00</dcterms:created>
  <dcterms:modified xsi:type="dcterms:W3CDTF">2026-08-05T18:18:37+03:00</dcterms:modified>
</cp:coreProperties>
</file>

<file path=docProps/custom.xml><?xml version="1.0" encoding="utf-8"?>
<Properties xmlns="http://schemas.openxmlformats.org/officeDocument/2006/custom-properties" xmlns:vt="http://schemas.openxmlformats.org/officeDocument/2006/docPropsVTypes"/>
</file>