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هبة اللَّه بن الحسن بن منصور بن بكر اللالكائى الحافظ بن الحافظ أبي القاسم الطبري.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هبة اللَّه بن الحسن بن منصور بن بكر اللالكائى الحافظ بن الحافظ أبي القاسم الطبري.
</w:t>
      </w:r>
    </w:p>
    <w:p>
      <w:pPr/>
      <w:r>
        <w:rPr/>
        <w:t xml:space="preserve">محمد بن هبة اللَّه بن الحسن بن منصور بن بكر اللالكائى الحافظ بن الحافظ أبي القاسم الطبري. </w:t>
      </w:r>
    </w:p>
    <w:p/>
    <w:p>
      <w:pPr/>
      <w:r>
        <w:rPr/>
        <w:t xml:space="preserve">سمع ورحل، مات ببغداد سنة اثنتين وسبعين وأربعمائة، وولد سنة تسع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2026-10-07T12:56:30+03:00</dcterms:created>
  <dcterms:modified xsi:type="dcterms:W3CDTF">2026-10-07T12:56:30+03:00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