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الحسين بن محمد الروذَرَاوَرَدى الوزير إمام المقتدى أبو شجاع.
</w:t>
      </w:r>
    </w:p>
    <w:p>
      <w:pPr>
        <w:jc w:val="start"/>
        <w:bidi/>
      </w:pPr>
      <w:r>
        <w:rPr>
          <w:rFonts w:ascii="arial" w:hAnsi="arial" w:eastAsia="arial" w:cs="arial"/>
          <w:sz w:val="28"/>
          <w:szCs w:val="28"/>
          <w:b w:val="1"/>
          <w:bCs w:val="1"/>
          <w:rtl/>
        </w:rPr>
        <w:t xml:space="preserve">محمد بن الحسين بن محمد الروذَرَاوَرَدى الوزير إمام المقتدى أبو شجاع.
</w:t>
      </w:r>
    </w:p>
    <w:p>
      <w:pPr/>
      <w:r>
        <w:rPr/>
        <w:t xml:space="preserve">محمد بن الحسين بن محمد الروذَرَاوَرَدى الوزير إمام المقتدى أبو شجاع. </w:t>
      </w:r>
    </w:p>
    <w:p/>
    <w:p>
      <w:pPr/>
      <w:r>
        <w:rPr/>
        <w:t xml:space="preserve">ولد سنة سبع وثلاثين وأربعمائة، ذو صنائع بر ومعروف، قال بعض من يتولى صدقاته: حسبت ما انصرف على يدى من صدقته. فاشتمل على مائة ألف دينار وعشرين ألف دينار. قال: وكنت واحداً من عشرة يتولون صدقاته. توفى منتصف جمادى الآخرة سنة ثمانين وأربعمائة، ودفن بالبقيع عند قبر إبراهيم بن رسول اللَّه -صلى اللَّه عليه وسلم-، وكان رحمه اللَّه أحد خدّام الروضة. يكنس المسجد ويشعل المصابيح، وأضرب على الجاه والعز والوطن وأراد اللَّه به خيراً، وكتب إلى ولده أبي منصور بأن يقف عنه مدرسة على أصحاب الشافعي.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2026-08-05T17:17:14+03:00</dcterms:created>
  <dcterms:modified xsi:type="dcterms:W3CDTF">2026-08-05T17:17:14+03:00</dcterms:modified>
</cp:coreProperties>
</file>

<file path=docProps/custom.xml><?xml version="1.0" encoding="utf-8"?>
<Properties xmlns="http://schemas.openxmlformats.org/officeDocument/2006/custom-properties" xmlns:vt="http://schemas.openxmlformats.org/officeDocument/2006/docPropsVTypes"/>
</file>