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وولده القاضي أبو محمد إسماعيل.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وولده القاضي أبو محمد إسماعيل.
</w:t>
      </w:r>
    </w:p>
    <w:p>
      <w:pPr/>
      <w:r>
        <w:rPr/>
        <w:t xml:space="preserve">وولده القاضي أبو محمد إسماعيل. </w:t>
      </w:r>
    </w:p>
    <w:p/>
    <w:p>
      <w:pPr/>
      <w:r>
        <w:rPr/>
        <w:t xml:space="preserve">قاضي خراسان رويت عنه.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المذهب في طبقات حملة المذهب،(دار الكتب العلمية، بيروت - لبنان،1997،ط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2026-08-05T19:13:17+03:00</dcterms:created>
  <dcterms:modified xsi:type="dcterms:W3CDTF">2026-08-05T19:13:17+03:00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