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ومحمد بن عبد اللَّه بن محمد أبو بكر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ومحمد بن عبد اللَّه بن محمد أبو بكر الفارسي
</w:t>
      </w:r>
    </w:p>
    <w:p>
      <w:pPr/>
      <w:r>
        <w:rPr/>
        <w:t xml:space="preserve">ومحمد بن عبد اللَّه بن محمد أبو بكر الفارسي </w:t>
      </w:r>
    </w:p>
    <w:p/>
    <w:p>
      <w:pPr/>
      <w:r>
        <w:rPr/>
        <w:t xml:space="preserve">الواعظ المفسر مات سنة اثنتين وسبعين وثلثمائة، وصلى عليه الماسرجسي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2026-10-07T15:01:47+03:00</dcterms:created>
  <dcterms:modified xsi:type="dcterms:W3CDTF">2026-10-07T15:01:47+03:00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