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الإمام أبو العباس الدَيْبُلِي
</w:t>
      </w:r>
    </w:p>
    <w:p>
      <w:pPr>
        <w:jc w:val="start"/>
        <w:bidi/>
      </w:pPr>
      <w:r>
        <w:rPr>
          <w:rFonts w:ascii="arial" w:hAnsi="arial" w:eastAsia="arial" w:cs="arial"/>
          <w:sz w:val="28"/>
          <w:szCs w:val="28"/>
          <w:b w:val="1"/>
          <w:bCs w:val="1"/>
          <w:rtl/>
        </w:rPr>
        <w:t xml:space="preserve">أحمد بن محمد الإمام أبو العباس الدَيْبُلِي
</w:t>
      </w:r>
    </w:p>
    <w:p>
      <w:pPr/>
      <w:r>
        <w:rPr/>
        <w:t xml:space="preserve">أحمد بن محمد الإمام أبو العباس الدَيْبُلِي </w:t>
      </w:r>
    </w:p>
    <w:p/>
    <w:p>
      <w:pPr/>
      <w:r>
        <w:rPr/>
        <w:t xml:space="preserve">الزاهد ذو الكرامات نزيل مصر، كان كثير النظر في الأم، جيد المعرفة بالمذهب، مات سنة ثلاث وسبعين وثلثمائة، وجمع بين المغرب والعشاء في وقت المغرب ليلة موته وهو يقرأ في رمضان.</w:t>
      </w:r>
    </w:p>
    <w:p/>
    <w:p>
      <w:pPr/>
      <w:r>
        <w:rPr/>
        <w:t xml:space="preserve">فائدة: دَيْبُل بدال مفتوحة، ثم مثناه تحت ساكنة ثم باء موحدة مضمومة، بلدة من ساحل الهند قريب من السند، وهو دبيل الصا بفتح الدال المهملة وكسر الباء الموحدة، ثم مثناة تحت قرية من قرى الشام فيما ظنه ابن السمعاني.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2026-10-08T17:44:43+03:00</dcterms:created>
  <dcterms:modified xsi:type="dcterms:W3CDTF">2026-10-08T17:44:43+03:00</dcterms:modified>
</cp:coreProperties>
</file>

<file path=docProps/custom.xml><?xml version="1.0" encoding="utf-8"?>
<Properties xmlns="http://schemas.openxmlformats.org/officeDocument/2006/custom-properties" xmlns:vt="http://schemas.openxmlformats.org/officeDocument/2006/docPropsVTypes"/>
</file>