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جعفر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جعفر الهروي
</w:t>
      </w:r>
    </w:p>
    <w:p>
      <w:pPr/>
      <w:r>
        <w:rPr/>
        <w:t xml:space="preserve">أحمد بن محمد بن جعفر الهروي </w:t>
      </w:r>
    </w:p>
    <w:p/>
    <w:p>
      <w:pPr/>
      <w:r>
        <w:rPr/>
        <w:t xml:space="preserve">المعروف بالعالم، درس عليه القادر باللَّه قاله الشيخ أبو إسحاق، وروي عنه القاضي الحسين وغيره، قال الخطيب: وتقلد حسبة بغداد ومات سنة خمس وثمانين وثلثمائة وولد سنة ثمان وعشرين.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2026-08-05T18:10:49+03:00</dcterms:created>
  <dcterms:modified xsi:type="dcterms:W3CDTF">2026-08-05T18:10:49+03:00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