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أبو عبد اللَّه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أبو عبد اللَّه البغدادي
</w:t>
      </w:r>
    </w:p>
    <w:p>
      <w:pPr/>
      <w:r>
        <w:rPr/>
        <w:t xml:space="preserve">محمد بن أحمد بن علي أبو عبد اللَّه البغدادي </w:t>
      </w:r>
    </w:p>
    <w:p/>
    <w:p>
      <w:pPr/>
      <w:r>
        <w:rPr/>
        <w:t xml:space="preserve">من تلامذة ابن جرير الطبري. لم يكن عندهم بذاك قال: لما تزوجت جلست على العادة أكتب، فجائت أم الزوجة في بعض الأيام فرمت بالمحبرة فكسرتها وقالت: هذه شر على ابنتي من ثلثمائة ضرة. مات سنة سبع وخمسين وثلثمائة عن ثلاث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2026-10-07T15:58:18+03:00</dcterms:created>
  <dcterms:modified xsi:type="dcterms:W3CDTF">2026-10-07T15:58:18+03:00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