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العراقي محمد بن علي بن عبد اللَّه أبو عبد اللَّه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العراقي محمد بن علي بن عبد اللَّه أبو عبد اللَّه البغدادي.
</w:t>
      </w:r>
    </w:p>
    <w:p>
      <w:pPr/>
      <w:r>
        <w:rPr/>
        <w:t xml:space="preserve">العراقي محمد بن علي بن عبد اللَّه أبو عبد اللَّه البغدادي. </w:t>
      </w:r>
    </w:p>
    <w:p/>
    <w:p>
      <w:pPr/>
      <w:r>
        <w:rPr/>
        <w:t xml:space="preserve">سكن البوازيج تفقه على الغزالي وغيره، وسمع وبوز وناظر، ولد في حدود سنة ثمانين وأربعمائة، ذكره ابن الصلاح ولم يؤرخ وفاته، أما.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2026-08-05T18:18:14+03:00</dcterms:created>
  <dcterms:modified xsi:type="dcterms:W3CDTF">2026-08-05T18:18:14+03:00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