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الشَبُّوي
</w:t>
      </w:r>
    </w:p>
    <w:p>
      <w:pPr>
        <w:jc w:val="start"/>
        <w:bidi/>
      </w:pPr>
      <w:r>
        <w:rPr>
          <w:rFonts w:ascii="arial" w:hAnsi="arial" w:eastAsia="arial" w:cs="arial"/>
          <w:sz w:val="28"/>
          <w:szCs w:val="28"/>
          <w:b w:val="1"/>
          <w:bCs w:val="1"/>
          <w:rtl/>
        </w:rPr>
        <w:t xml:space="preserve">الشَبُّوي
</w:t>
      </w:r>
    </w:p>
    <w:p>
      <w:pPr/>
      <w:r>
        <w:rPr/>
        <w:t xml:space="preserve">الشَبُّوي </w:t>
      </w:r>
    </w:p>
    <w:p/>
    <w:p>
      <w:pPr/>
      <w:r>
        <w:rPr/>
        <w:t xml:space="preserve">- بفتح الشين المعجمة وضم الباء الموحدة المشددة- هو محمد بن عمر بن شبويه المروزي، روى عن الفربري صاحب البخارى، وعنه أبو عثمان سعيد بن أبي سعيد العباد الصوفى، وبنته زوجة أبي عبد اللَّه الحضرمى مذكورة في مسئلة القلامة، فهى من أصحابنا النساء. قال ابن نقطة: وحدَّث بالبخارى سنة ثمان وسبعين وثلثمائة، وكان سماعه له من الفربرى سنة ست عشرة ووقع في تاريخ ابن خلكان تقليداً للسمعاني في أنسابه بأن اسم صاحب هذه الترجمة أحمد وليس كذلك، وإنما هو محمد كذا ذكره ابن ماكولا في ’’إكماله’’ وابن نقطه في تكملته وتنبيهه، وابن باطيش في مشتبهه، وأحمد هذا آخر كنيته أبو الهيثم كما ذكره ابن نقطة في تكملته والحاكم في تاريخه، حيث قالا: أحمد بن عمر بن شبويه أبو الهيثم، مات سنة خِمس وسبعين وثلثمائة قاله الحاكم فيجوز أن يكون أخاه.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2026-10-07T18:03:55+03:00</dcterms:created>
  <dcterms:modified xsi:type="dcterms:W3CDTF">2026-10-07T18:03:55+03:00</dcterms:modified>
</cp:coreProperties>
</file>

<file path=docProps/custom.xml><?xml version="1.0" encoding="utf-8"?>
<Properties xmlns="http://schemas.openxmlformats.org/officeDocument/2006/custom-properties" xmlns:vt="http://schemas.openxmlformats.org/officeDocument/2006/docPropsVTypes"/>
</file>