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الرونق.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الرونق.
</w:t>
      </w:r>
    </w:p>
    <w:p>
      <w:pPr/>
      <w:r>
        <w:rPr/>
        <w:t xml:space="preserve">صاحب الرونق. </w:t>
      </w:r>
    </w:p>
    <w:p/>
    <w:p>
      <w:pPr/>
      <w:r>
        <w:rPr/>
        <w:t xml:space="preserve">في الفقه على طريق اللباب نسب إلى الشيخ أبي حامد الإسفرائينى وهو تلميذ المحاملى، لا الإمام المشهور، وقيل إنه لأبى حاتم القزويني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2026-08-05T15:07:02+03:00</dcterms:created>
  <dcterms:modified xsi:type="dcterms:W3CDTF">2026-08-05T15:07:02+03:00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