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الرونق.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الرونق.
</w:t>
      </w:r>
    </w:p>
    <w:p>
      <w:pPr/>
      <w:r>
        <w:rPr/>
        <w:t xml:space="preserve">صاحب الرونق. </w:t>
      </w:r>
    </w:p>
    <w:p/>
    <w:p>
      <w:pPr/>
      <w:r>
        <w:rPr/>
        <w:t xml:space="preserve">في الفقه على طريق اللباب نسب إلى الشيخ أبي حامد الإسفرائينى وهو تلميذ المحاملى، لا الإمام المشهور، وقيل إنه لأبى حاتم القزويني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2026-10-07T18:05:44+03:00</dcterms:created>
  <dcterms:modified xsi:type="dcterms:W3CDTF">2026-10-07T18:05:44+03:00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