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التُّرْبُجي
</w:t>
      </w:r>
    </w:p>
    <w:p>
      <w:pPr>
        <w:jc w:val="start"/>
        <w:bidi/>
      </w:pPr>
      <w:r>
        <w:rPr>
          <w:rFonts w:ascii="arial" w:hAnsi="arial" w:eastAsia="arial" w:cs="arial"/>
          <w:sz w:val="28"/>
          <w:szCs w:val="28"/>
          <w:b w:val="1"/>
          <w:bCs w:val="1"/>
          <w:rtl/>
        </w:rPr>
        <w:t xml:space="preserve">التُّرْبُجي
</w:t>
      </w:r>
    </w:p>
    <w:p>
      <w:pPr/>
      <w:r>
        <w:rPr/>
        <w:t xml:space="preserve">التُّرْبُجي </w:t>
      </w:r>
    </w:p>
    <w:p/>
    <w:p>
      <w:pPr/>
      <w:r>
        <w:rPr/>
        <w:t xml:space="preserve">من قدماء أصحابنا هو -بضم التاء المثناه فوق ثم راء مهملة ساكنة ثم باء موحدة مضمومة ثم جيم ثم ياء النسبة- كذا ضبطه النووى في شرح المهذب في الصلاة، وهو القائل بوجوب الصلاة على الآل في التشهد الأخير، وهو القائل أيضاً بالوقف في فعله عليه الصلاة والسلام المجرد عن القرائن لتردده بين الوجوب والندب والإباحة وكونه من خصائصه، وقال العبادي في طبقاته في ترجمة أبي علي بن خيران: حكى التُّربجى الطبري وهو من فقهائنا. عنه يعنى ابن خيران أنه جوز للسيد أن يشهد لمكاتبه ويدفع إليه زكاته.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2026-10-07T18:57:02+03:00</dcterms:created>
  <dcterms:modified xsi:type="dcterms:W3CDTF">2026-10-07T18:57:02+03:00</dcterms:modified>
</cp:coreProperties>
</file>

<file path=docProps/custom.xml><?xml version="1.0" encoding="utf-8"?>
<Properties xmlns="http://schemas.openxmlformats.org/officeDocument/2006/custom-properties" xmlns:vt="http://schemas.openxmlformats.org/officeDocument/2006/docPropsVTypes"/>
</file>