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المكارم الرويانى الطبري.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المكارم الرويانى الطبري.
</w:t>
      </w:r>
    </w:p>
    <w:p>
      <w:pPr/>
      <w:r>
        <w:rPr/>
        <w:t xml:space="preserve">أبو المكارم الرويانى الطبري. </w:t>
      </w:r>
    </w:p>
    <w:p/>
    <w:p>
      <w:pPr/>
      <w:r>
        <w:rPr/>
        <w:t xml:space="preserve">صاحب ’’العدة’’ وهو ابن أخت الرويانى، كما ذكره الرافعي في النفقات. في الكلام على الفسخ بالإعسار، وهو المذكور في الشركة أيضاً وفي القضاء في الكلام على التحكيم.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2026-08-05T16:14:59+03:00</dcterms:created>
  <dcterms:modified xsi:type="dcterms:W3CDTF">2026-08-05T16:14:59+03:00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