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الفياض البصري محمد بن الحسن بن المنتصر.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الفياض البصري محمد بن الحسن بن المنتصر.
</w:t>
      </w:r>
    </w:p>
    <w:p>
      <w:pPr/>
      <w:r>
        <w:rPr/>
        <w:t xml:space="preserve">أبو الفياض البصري محمد بن الحسن بن المنتصر. </w:t>
      </w:r>
    </w:p>
    <w:p/>
    <w:p>
      <w:pPr/>
      <w:r>
        <w:rPr/>
        <w:t xml:space="preserve">تفقه بالقاضي أبي حامد المروزي، وعنه أبو القاسم الصيمرى وهو مصنف ’’اللاحق على الجامع’’ لشيخه، ذكر فيه: أنه يكره للقاضي النظر في نفقة أهله وصنعته؛ لأن ذلك أسهل لفهمه من كثير من الغضب. قال الشيخ أبو إسحاق: درَّس بالبصرة، وعنه أخذ فقهاؤها.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2026-10-07T19:59:06+03:00</dcterms:created>
  <dcterms:modified xsi:type="dcterms:W3CDTF">2026-10-07T19:59:06+03:00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