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بن أحمد.
</w:t>
      </w:r>
    </w:p>
    <w:p>
      <w:pPr>
        <w:jc w:val="start"/>
        <w:bidi/>
      </w:pPr>
      <w:r>
        <w:rPr>
          <w:rFonts w:ascii="arial" w:hAnsi="arial" w:eastAsia="arial" w:cs="arial"/>
          <w:sz w:val="28"/>
          <w:szCs w:val="28"/>
          <w:b w:val="1"/>
          <w:bCs w:val="1"/>
          <w:rtl/>
        </w:rPr>
        <w:t xml:space="preserve">أبو سعد بن أحمد.
</w:t>
      </w:r>
    </w:p>
    <w:p>
      <w:pPr/>
      <w:r>
        <w:rPr/>
        <w:t xml:space="preserve">أبو سعد بن أحمد. </w:t>
      </w:r>
    </w:p>
    <w:p/>
    <w:p>
      <w:pPr/>
      <w:r>
        <w:rPr/>
        <w:t xml:space="preserve">شارح أدب القضاة لأبى عاصم العبادي، وهو أبو سعد محمد بن أحمد أبي يوسف الهروى، ولى قضاء همدان تلميذ أبي عاصم العبادي ذكره الرافعي في العيوب والغصب والمسائل المنثورة الملحقة بالباب الأول من الإجارة وبالغ في الاعتماد على شرحه، فتارة يصرح باسمه وتارة يقول فيه بعض أصحاب العبادي فاعلمه، وذكره عبد الغافر الفارسى في ذيله أن القاضي أبا سعد قتل شهيداً مع ابنه في جامع همذان في شعبان سنة ثمان عشرة وخمسمائة، وأنه كان رجلاً ذا هيبة لكنه خالف المذكور أولاً في الأب، فقال: محمد بن نصر بن منصور فيجوز أن يكون أباه وأن يكون غيره.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2026-08-05T13:05:05+03:00</dcterms:created>
  <dcterms:modified xsi:type="dcterms:W3CDTF">2026-08-05T13:05:05+03:00</dcterms:modified>
</cp:coreProperties>
</file>

<file path=docProps/custom.xml><?xml version="1.0" encoding="utf-8"?>
<Properties xmlns="http://schemas.openxmlformats.org/officeDocument/2006/custom-properties" xmlns:vt="http://schemas.openxmlformats.org/officeDocument/2006/docPropsVTypes"/>
</file>