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الطيبي
</w:t>
      </w:r>
    </w:p>
    <w:p>
      <w:pPr>
        <w:jc w:val="start"/>
        <w:bidi/>
      </w:pPr>
      <w:r>
        <w:rPr>
          <w:rFonts w:ascii="arial" w:hAnsi="arial" w:eastAsia="arial" w:cs="arial"/>
          <w:sz w:val="28"/>
          <w:szCs w:val="28"/>
          <w:b w:val="1"/>
          <w:bCs w:val="1"/>
          <w:rtl/>
        </w:rPr>
        <w:t xml:space="preserve">أبو الحسن الطيبي
</w:t>
      </w:r>
    </w:p>
    <w:p>
      <w:pPr/>
      <w:r>
        <w:rPr/>
        <w:t xml:space="preserve">أبو الحسن الطيبي </w:t>
      </w:r>
    </w:p>
    <w:p/>
    <w:p>
      <w:pPr/>
      <w:r>
        <w:rPr/>
        <w:t xml:space="preserve">- بكسر الطاء وفى آخره ياء- نسبة إِلى بلدٍ يقال لها الطيب كذا ضبطه النووى في أصل الروضة، ذكره الرافعي في فصل اختلاف الجانى ومستحق الدم، وحكى عنه أيضاً قبيل الإمامة أنه هو القائل في مسئلة قد الملفوف بالتفرقة بين أن يكون ملفوفاً على هيئة التكفين فيكون القول قول مَن يدعى موته وبين أن يكون في سياب الأحياء ليعتضد أحد الأصلين بظاهر. ومن هذه البلدة أيضاً شخص يقال له: أبو العباس أحمد الطيبى قاضي الطيب سيأتي في الطبقة الخامسة عشرة من الطبقة الثانية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2026-08-05T21:22:27+03:00</dcterms:created>
  <dcterms:modified xsi:type="dcterms:W3CDTF">2026-08-05T21:22:27+03:00</dcterms:modified>
</cp:coreProperties>
</file>

<file path=docProps/custom.xml><?xml version="1.0" encoding="utf-8"?>
<Properties xmlns="http://schemas.openxmlformats.org/officeDocument/2006/custom-properties" xmlns:vt="http://schemas.openxmlformats.org/officeDocument/2006/docPropsVTypes"/>
</file>