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الفارسي
</w:t>
      </w:r>
    </w:p>
    <w:p>
      <w:pPr/>
      <w:r>
        <w:rPr/>
        <w:t xml:space="preserve">أبو بكر الفارسي </w:t>
      </w:r>
    </w:p>
    <w:p/>
    <w:p>
      <w:pPr/>
      <w:r>
        <w:rPr/>
        <w:t xml:space="preserve">من كبار أصحابنا، له مصنفات في الفقه والأدب، حكى قولاً عن الشافعي أنه إذا حضر السلطان داراً فصاحبها أحق بالإمامة، ووجهين في تحريم الربا في الماورد والصمغ</w:t>
      </w:r>
    </w:p>
    <w:p/>
    <w:p>
      <w:pPr/>
      <w:r>
        <w:rPr/>
        <w:t xml:space="preserve">العربى، وذكر أنه ينبغى للخطيب أن يصعد على تؤدة ويقف على كل مرقاه وقفة خفيفة، ويسأل اللَّه المعونة والتسديد، وأنه لا يلتفت يميناً وشمالاً.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2026-08-05T18:52:58+03:00</dcterms:created>
  <dcterms:modified xsi:type="dcterms:W3CDTF">2026-08-05T18:52:58+03:00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