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الجرجاني
</w:t>
      </w:r>
    </w:p>
    <w:p>
      <w:pPr>
        <w:jc w:val="start"/>
        <w:bidi/>
      </w:pPr>
      <w:r>
        <w:rPr>
          <w:rFonts w:ascii="arial" w:hAnsi="arial" w:eastAsia="arial" w:cs="arial"/>
          <w:sz w:val="28"/>
          <w:szCs w:val="28"/>
          <w:b w:val="1"/>
          <w:bCs w:val="1"/>
          <w:rtl/>
        </w:rPr>
        <w:t xml:space="preserve">أبو أحمد الجرجاني
</w:t>
      </w:r>
    </w:p>
    <w:p>
      <w:pPr/>
      <w:r>
        <w:rPr/>
        <w:t xml:space="preserve">أبو أحمد الجرجاني </w:t>
      </w:r>
    </w:p>
    <w:p/>
    <w:p>
      <w:pPr/>
      <w:r>
        <w:rPr/>
        <w:t xml:space="preserve">ذكره الرافعي في حد القذف فيما إذا قال: يا زانى بالهمز هل يكون صريحاً. قال حمزة في ’’تاريخ جرجان’’: هو محمد بن إبراهيم وكناه بأبى محمد. وقال: هو الصباغ الفقيه صاحب أبي إسحاق المروزي الفقيه، ودرَّس ببغداد، ومات بها. روى عن عبد الرحمن بن عبد المؤمن الجرجانى، وعنه أبو الحسين محمد بن أبي أحمد المحاملى، وفى تاريخ مصر لشيخنا قطب الدين عبد الكريم الحلبى نسبة إلى بغداد، ويكنيه بأبى الطيب وأرخ وفاته سنة ثلاث وسبعين وثلثمائة، عن نيف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2026-08-05T19:58:26+03:00</dcterms:created>
  <dcterms:modified xsi:type="dcterms:W3CDTF">2026-08-05T19:58:26+03:00</dcterms:modified>
</cp:coreProperties>
</file>

<file path=docProps/custom.xml><?xml version="1.0" encoding="utf-8"?>
<Properties xmlns="http://schemas.openxmlformats.org/officeDocument/2006/custom-properties" xmlns:vt="http://schemas.openxmlformats.org/officeDocument/2006/docPropsVTypes"/>
</file>