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بن مرتفع بن حازم بن إبراهيم بن العباس الأنصاري
</w:t>
      </w:r>
    </w:p>
    <w:p>
      <w:pPr>
        <w:jc w:val="start"/>
        <w:bidi/>
      </w:pPr>
      <w:r>
        <w:rPr>
          <w:rFonts w:ascii="arial" w:hAnsi="arial" w:eastAsia="arial" w:cs="arial"/>
          <w:sz w:val="28"/>
          <w:szCs w:val="28"/>
          <w:b w:val="1"/>
          <w:bCs w:val="1"/>
          <w:rtl/>
        </w:rPr>
        <w:t xml:space="preserve">أحمد بن علي بن مرتفع بن حازم بن إبراهيم بن العباس الأنصاري
</w:t>
      </w:r>
    </w:p>
    <w:p>
      <w:pPr/>
      <w:r>
        <w:rPr/>
        <w:t xml:space="preserve">أحمد بن علي بن مرتفع بن حازم بن إبراهيم بن العباس الأنصاري </w:t>
      </w:r>
    </w:p>
    <w:p/>
    <w:p>
      <w:pPr/>
      <w:r>
        <w:rPr/>
        <w:t xml:space="preserve">النجاري المصري الشهير بالفقيه ابن الرفعة، أحد أئمة الشافعية في عصره وحامل لوائهم، تفقه على السديد والظهير التزمنتيين والشريف العباس، ولقب بالفقيه فكان، وهو إلى الأن لا يكاد يعرف عند طلاب مصر إلَّا به، شرح التنبيه بشرح نفيس وشرح الوسيط أيضاً، وفيه إعواز من صلاة الجماعة إلى البيع كمله القاضي نجم الدين القمولى، ونصب نفسه فيه لنصوص الامام من الأم والمختصر وغيرهما، وسمع الحديث من أبي الحسن علي بن نصر اللَّه بن الصواف وغيره، وحدث بشيء من تصنيفه في أمر الكنائس وتخريبها، وولى حسبة مصر ودرس بالمعزيّة، وكان مولده سنة خمس وأربعين وستمائة، ومات بها في رحب سنة عشر وسبعمائة، وله تصنيف لطف في المكاييل والموازيِن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2026-10-07T23:19:18+03:00</dcterms:created>
  <dcterms:modified xsi:type="dcterms:W3CDTF">2026-10-07T23:19:18+03:00</dcterms:modified>
</cp:coreProperties>
</file>

<file path=docProps/custom.xml><?xml version="1.0" encoding="utf-8"?>
<Properties xmlns="http://schemas.openxmlformats.org/officeDocument/2006/custom-properties" xmlns:vt="http://schemas.openxmlformats.org/officeDocument/2006/docPropsVTypes"/>
</file>