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عبد الصمد بن محمد الإمام عماد الدين أبو الفضائل الأنصاري بن الحرستاني
</w:t>
      </w:r>
    </w:p>
    <w:p>
      <w:pPr>
        <w:jc w:val="start"/>
        <w:bidi/>
      </w:pPr>
      <w:r>
        <w:rPr>
          <w:rFonts w:ascii="arial" w:hAnsi="arial" w:eastAsia="arial" w:cs="arial"/>
          <w:sz w:val="28"/>
          <w:szCs w:val="28"/>
          <w:b w:val="1"/>
          <w:bCs w:val="1"/>
          <w:rtl/>
        </w:rPr>
        <w:t xml:space="preserve">عبد الكريم بن عبد الصمد بن محمد الإمام عماد الدين أبو الفضائل الأنصاري بن الحرستاني
</w:t>
      </w:r>
    </w:p>
    <w:p>
      <w:pPr/>
      <w:r>
        <w:rPr/>
        <w:t xml:space="preserve">عبد الكريم بن عبد الصمد بن محمد الإمام عماد الدين أبو الفضائل الأنصاري بن الحرستاني </w:t>
      </w:r>
    </w:p>
    <w:p/>
    <w:p>
      <w:pPr/>
      <w:r>
        <w:rPr/>
        <w:t xml:space="preserve">سمع من والده قاضي القضاة جمال الدين وغيره، وروى عنه الحافظ شرف الدين الدمياطى وغيره، وبرع وأفتى ودرَّس وناب عن أبيه في الحكم مدة ثم عزل ودرَّس بالغزالية مدة، وباشر الخطابة مدة، وولى مشيخة دار الحديث بالأشرفية بعد ابن الصلاح فبقى نحو عشرين سنة فيها إلى أن توفي سنة اثنين وستين، ثم وليها أبو شامة ثلاث سنين كما سبق في ترجمته، ثم الشيخ محيى الدين النووى فوق العشر سنين كما سيأتي في ترجمته، ثم الشيخ زين الدين الفارقى، ثم الشيخ صدر الدين ابن الوكيل، ثم الشيخ جمال الدين ابن الشربشى، ثم الحافظ جمال الدين المزِّى ثم قاضي القضاة تقى الدين السبكي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2026-10-07T23:20:09+03:00</dcterms:created>
  <dcterms:modified xsi:type="dcterms:W3CDTF">2026-10-07T23:20:09+03:00</dcterms:modified>
</cp:coreProperties>
</file>

<file path=docProps/custom.xml><?xml version="1.0" encoding="utf-8"?>
<Properties xmlns="http://schemas.openxmlformats.org/officeDocument/2006/custom-properties" xmlns:vt="http://schemas.openxmlformats.org/officeDocument/2006/docPropsVTypes"/>
</file>