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قاضي القضاه محيى الدين أبو حامد.
</w:t>
      </w:r>
    </w:p>
    <w:p>
      <w:pPr>
        <w:jc w:val="start"/>
        <w:bidi/>
      </w:pPr>
      <w:r>
        <w:rPr>
          <w:rFonts w:ascii="arial" w:hAnsi="arial" w:eastAsia="arial" w:cs="arial"/>
          <w:sz w:val="28"/>
          <w:szCs w:val="28"/>
          <w:b w:val="1"/>
          <w:bCs w:val="1"/>
          <w:rtl/>
        </w:rPr>
        <w:t xml:space="preserve">محمد بن محمد قاضي القضاه محيى الدين أبو حامد.
</w:t>
      </w:r>
    </w:p>
    <w:p>
      <w:pPr/>
      <w:r>
        <w:rPr/>
        <w:t xml:space="preserve">محمد بن محمد قاضي القضاه محيى الدين أبو حامد. </w:t>
      </w:r>
    </w:p>
    <w:p/>
    <w:p>
      <w:pPr/>
      <w:r>
        <w:rPr/>
        <w:t xml:space="preserve">ابن قاضي القضاه كمال الدين السهروردى قاضي حلب وغيرها، على ابن الرزاز، وناب في الحكم عن أبيه بدمشق ودرس بالموصل، وتقضَّى بها وكان جواداً، قيل إنه أطلق في بعض وسائله إلى بغداد على الفقهاء والأدباء والشعراء غرة الألف ديناراً ميرية، ولم يعتقل غريماً على دينارين فما دونهما بل فوقهما، مات بالموصل سنة ست وثمانين وخمسمائة عن اثنين وستين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2026-10-07T23:15:43+03:00</dcterms:created>
  <dcterms:modified xsi:type="dcterms:W3CDTF">2026-10-07T23:15:43+03:00</dcterms:modified>
</cp:coreProperties>
</file>

<file path=docProps/custom.xml><?xml version="1.0" encoding="utf-8"?>
<Properties xmlns="http://schemas.openxmlformats.org/officeDocument/2006/custom-properties" xmlns:vt="http://schemas.openxmlformats.org/officeDocument/2006/docPropsVTypes"/>
</file>