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ميمون الفارسي
</w:t>
      </w:r>
    </w:p>
    <w:p>
      <w:pPr>
        <w:jc w:val="start"/>
        <w:bidi/>
      </w:pPr>
      <w:r>
        <w:rPr>
          <w:rFonts w:ascii="arial" w:hAnsi="arial" w:eastAsia="arial" w:cs="arial"/>
          <w:sz w:val="28"/>
          <w:szCs w:val="28"/>
          <w:b w:val="1"/>
          <w:bCs w:val="1"/>
          <w:rtl/>
        </w:rPr>
        <w:t xml:space="preserve">أحمد بن ميمون الفارسي
</w:t>
      </w:r>
    </w:p>
    <w:p>
      <w:pPr/>
      <w:r>
        <w:rPr/>
        <w:t xml:space="preserve">أحمد بن ميمون الفارسي </w:t>
      </w:r>
    </w:p>
    <w:p/>
    <w:p>
      <w:pPr/>
      <w:r>
        <w:rPr/>
        <w:t xml:space="preserve">لا أعرف طبقته، حكى الرافعي عنه وجهاً في النكاح فيما إِذا سلّم السيد الأمة نهاراً وحكاه العبادي أيضاً عنه قال: وهو القائل أيضاً: إذا قال أنت طالق ونوى إن دخلت الدار أنه لا يصح باطناً، أيضاً كما لو أطلق الطلاق ونوى الاستثناء وغيره فرق بينهما، ونقل الرافعي عنه أن في موضحة الوجه أكثر الأمرين من خمس من الإبل والحَكُومة.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2026-08-05T19:59:15+03:00</dcterms:created>
  <dcterms:modified xsi:type="dcterms:W3CDTF">2026-08-05T19:59:15+03:00</dcterms:modified>
</cp:coreProperties>
</file>

<file path=docProps/custom.xml><?xml version="1.0" encoding="utf-8"?>
<Properties xmlns="http://schemas.openxmlformats.org/officeDocument/2006/custom-properties" xmlns:vt="http://schemas.openxmlformats.org/officeDocument/2006/docPropsVTypes"/>
</file>