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أحمد بن محمد بن عمرويه.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أحمد بن محمد بن عمرويه.
</w:t>
      </w:r>
    </w:p>
    <w:p>
      <w:pPr/>
      <w:r>
        <w:rPr/>
        <w:t xml:space="preserve">الحسين بن أحمد بن محمد بن عمرويه. </w:t>
      </w:r>
    </w:p>
    <w:p/>
    <w:p>
      <w:pPr/>
      <w:r>
        <w:rPr/>
        <w:t xml:space="preserve">شيخ الشافعية بأصبهان، مات في عشر المائة سنة ثمان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2026-08-05T19:00:51+03:00</dcterms:created>
  <dcterms:modified xsi:type="dcterms:W3CDTF">2026-08-05T19:00:51+03:00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