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في محمد بن إبراهيم أبو إسحاق النيسابوري الثعلبي
</w:t>
      </w:r>
    </w:p>
    <w:p>
      <w:pPr>
        <w:jc w:val="start"/>
        <w:bidi/>
      </w:pPr>
      <w:r>
        <w:rPr>
          <w:rFonts w:ascii="arial" w:hAnsi="arial" w:eastAsia="arial" w:cs="arial"/>
          <w:sz w:val="28"/>
          <w:szCs w:val="28"/>
          <w:b w:val="1"/>
          <w:bCs w:val="1"/>
          <w:rtl/>
        </w:rPr>
        <w:t xml:space="preserve">أحمد في محمد بن إبراهيم أبو إسحاق النيسابوري الثعلبي
</w:t>
      </w:r>
    </w:p>
    <w:p>
      <w:pPr/>
      <w:r>
        <w:rPr/>
        <w:t xml:space="preserve">أحمد في محمد بن إبراهيم أبو إسحاق النيسابوري الثعلبي </w:t>
      </w:r>
    </w:p>
    <w:p/>
    <w:p>
      <w:pPr/>
      <w:r>
        <w:rPr/>
        <w:t xml:space="preserve">صاحب التفسر و’’العرائس في قصص الأنبياء’’ ويقال له الثعالبي أيضاً. كان إماماً كبيراً حافظاً للغة بارعاً في العربية، روى عن أبي محمد المخلدى وغيره، أخذ عنه الواحدى، مات سنة سبع وعشرين وأربعمائة وقيل: سنة سبع وثلاثين حكاه ابن خلكان نقل النووى في شرح المهذب في باب النجاسات عنه مسئلة الدم غير المسفوح وقال: إنه من أصحابنا. قلت: وعبد الملك الثعالبى أبو منصور أديب مؤرخ سمى بذلك؛ لأنه كان يأخذ الخيط من جلود الثعالب. مات أيضاً سنة سبع وعشرين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2026-08-05T23:19:21+03:00</dcterms:created>
  <dcterms:modified xsi:type="dcterms:W3CDTF">2026-08-05T23:19:21+03:00</dcterms:modified>
</cp:coreProperties>
</file>

<file path=docProps/custom.xml><?xml version="1.0" encoding="utf-8"?>
<Properties xmlns="http://schemas.openxmlformats.org/officeDocument/2006/custom-properties" xmlns:vt="http://schemas.openxmlformats.org/officeDocument/2006/docPropsVTypes"/>
</file>