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منصور بن محمد الإمام أبو بكر بن العلامة أبي المظفر الميمنى المروزي.
</w:t>
      </w:r>
    </w:p>
    <w:p>
      <w:pPr>
        <w:jc w:val="start"/>
        <w:bidi/>
      </w:pPr>
      <w:r>
        <w:rPr>
          <w:rFonts w:ascii="arial" w:hAnsi="arial" w:eastAsia="arial" w:cs="arial"/>
          <w:sz w:val="28"/>
          <w:szCs w:val="28"/>
          <w:b w:val="1"/>
          <w:bCs w:val="1"/>
          <w:rtl/>
        </w:rPr>
        <w:t xml:space="preserve">محمد بن منصور بن محمد الإمام أبو بكر بن العلامة أبي المظفر الميمنى المروزي.
</w:t>
      </w:r>
    </w:p>
    <w:p>
      <w:pPr/>
      <w:r>
        <w:rPr/>
        <w:t xml:space="preserve">محمد بن منصور بن محمد الإمام أبو بكر بن العلامة أبي المظفر الميمنى المروزي. </w:t>
      </w:r>
    </w:p>
    <w:p/>
    <w:p>
      <w:pPr/>
      <w:r>
        <w:rPr/>
        <w:t xml:space="preserve">الحافظ، ترجم له ولده بما لا مزيد عليه وعبد الغافر في السياق أيضاً، أملى مائة وأربعين مجلساً في غاية الحسن وعلى الأحاديث بالأسانيد فاعترض عليه بعض المنازعين فروى حديث: ’’من كذب على متعمداً’’. بنيف وتسعين طريقاً وامتحن في أحاديث فرد كل اسم إلى موضعه وحصل لقرابة ذلك اليوم ألف دينار، ومات كهلاً سنة عشر وخمسمائة عن ثلاث وأربعين سنة، ومن شعره:</w:t>
      </w:r>
    </w:p>
    <w:p/>
    <w:p>
      <w:pPr>
        <w:jc w:val="center"/>
      </w:pPr>
      <w:r>
        <w:rPr>
          <w:color w:val="ff0000"/>
        </w:rPr>
        <w:t xml:space="preserve">وظبى فوق طَرف ظلَّ يرمى</w:t>
      </w:r>
      <w:r>
        <w:rPr>
          <w:color w:val="ff0000"/>
        </w:rPr>
        <w:t xml:space="preserve">      </w:t>
      </w:r>
      <w:r>
        <w:rPr>
          <w:color w:val="ff0000"/>
        </w:rPr>
        <w:t xml:space="preserve">بسهم اللَّحظ قلب الصَّبِّ طرفُه</w:t>
      </w:r>
    </w:p>
    <w:p/>
    <w:p>
      <w:pPr>
        <w:jc w:val="center"/>
      </w:pPr>
      <w:r>
        <w:rPr>
          <w:color w:val="ff0000"/>
        </w:rPr>
        <w:t xml:space="preserve">يؤثر طَرفه في القلب مالا</w:t>
      </w:r>
      <w:r>
        <w:rPr>
          <w:color w:val="ff0000"/>
        </w:rPr>
        <w:t xml:space="preserve">      </w:t>
      </w:r>
      <w:r>
        <w:rPr>
          <w:color w:val="ff0000"/>
        </w:rPr>
        <w:t xml:space="preserve">يؤثر في الحصى والتُّرْبِ طَرفُه.</w:t>
      </w:r>
    </w:p>
    <w:p/>
    <w:p>
      <w:pPr/>
      <w:r>
        <w:rPr/>
        <w:t xml:space="preserve">والطرف بكسر الطاء المهملة الفرس، نقل عنه في الروضة في الجزية في الكلام على دخول النساء الحمام.</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2026-08-05T17:17:35+03:00</dcterms:created>
  <dcterms:modified xsi:type="dcterms:W3CDTF">2026-08-05T17:17:35+03:00</dcterms:modified>
</cp:coreProperties>
</file>

<file path=docProps/custom.xml><?xml version="1.0" encoding="utf-8"?>
<Properties xmlns="http://schemas.openxmlformats.org/officeDocument/2006/custom-properties" xmlns:vt="http://schemas.openxmlformats.org/officeDocument/2006/docPropsVTypes"/>
</file>