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العزيز بن عمر بن عبد العزيز البخارى أبو حفص بن أبي المهاجر بن البرهان.
</w:t>
      </w:r>
    </w:p>
    <w:p>
      <w:pPr>
        <w:jc w:val="start"/>
        <w:bidi/>
      </w:pPr>
      <w:r>
        <w:rPr>
          <w:rFonts w:ascii="arial" w:hAnsi="arial" w:eastAsia="arial" w:cs="arial"/>
          <w:sz w:val="28"/>
          <w:szCs w:val="28"/>
          <w:b w:val="1"/>
          <w:bCs w:val="1"/>
          <w:rtl/>
        </w:rPr>
        <w:t xml:space="preserve">عمر بن عبد العزيز بن عمر بن عبد العزيز البخارى أبو حفص بن أبي المهاجر بن البرهان.
</w:t>
      </w:r>
    </w:p>
    <w:p>
      <w:pPr/>
      <w:r>
        <w:rPr/>
        <w:t xml:space="preserve">عمر بن عبد العزيز بن عمر بن عبد العزيز البخارى أبو حفص بن أبي المهاجر بن البرهان. </w:t>
      </w:r>
    </w:p>
    <w:p/>
    <w:p>
      <w:pPr/>
      <w:r>
        <w:rPr/>
        <w:t xml:space="preserve">من أهل بخارى المعروف بالحسام قال فيه ابن السمعاني: الإمام بن الإمام والبحر بن البحر، تفقه على أبيه واجتهد وبالغ إلى أن صار أوحد عصره وفريد دهره في النظر، وارتفع أمره بما وراء النهر حتى إن السلطان والوالى يصدرون عن رأيه ويتلقون إشارته بالقبول، ولد سنة ثلاث وثمانين وأربعمائة، وقتل صبراً بسمرقند سنة ست وثلاثين وخمسمائة ونقل إلى بخارى بعد سنة فدفن بها.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2026-08-05T17:05:26+03:00</dcterms:created>
  <dcterms:modified xsi:type="dcterms:W3CDTF">2026-08-05T17:05:26+03:00</dcterms:modified>
</cp:coreProperties>
</file>

<file path=docProps/custom.xml><?xml version="1.0" encoding="utf-8"?>
<Properties xmlns="http://schemas.openxmlformats.org/officeDocument/2006/custom-properties" xmlns:vt="http://schemas.openxmlformats.org/officeDocument/2006/docPropsVTypes"/>
</file>