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محمد أبو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محمد أبو الحسن.
</w:t>
      </w:r>
    </w:p>
    <w:p>
      <w:pPr/>
      <w:r>
        <w:rPr/>
        <w:t xml:space="preserve">عبد الرحمن بن أحمد بن محمد أبو الحسن. </w:t>
      </w:r>
    </w:p>
    <w:p/>
    <w:p>
      <w:pPr/>
      <w:r>
        <w:rPr/>
        <w:t xml:space="preserve">المديني ثم النيسابوري من تلامذة الجويني، عقد له مجلس الإملاء، ولد سنة خمس وأربعمائة، ومات سنة أربع وتسعين، وينبغى أن يؤخر هذا إلى الطبقة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2026-08-05T21:30:04+03:00</dcterms:created>
  <dcterms:modified xsi:type="dcterms:W3CDTF">2026-08-05T21:30:04+03:00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