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محمد.
</w:t>
      </w:r>
    </w:p>
    <w:p>
      <w:pPr/>
      <w:r>
        <w:rPr/>
        <w:t xml:space="preserve">أحمد بن محمد بن محمد. </w:t>
      </w:r>
    </w:p>
    <w:p/>
    <w:p>
      <w:pPr/>
      <w:r>
        <w:rPr/>
        <w:t xml:space="preserve">قاضي القضاه، مصنف ’’الجرحانيات’’، سمع عبد اللَّه بن أحمد الفقيه، وسمع منه حفيده صاحب البحر وأخذ عنه، ذكره الرافعي في أوائل المدبر وشئ من النكاح، وتعليقات الطلاق.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2026-08-05T18:05:07+03:00</dcterms:created>
  <dcterms:modified xsi:type="dcterms:W3CDTF">2026-08-05T18:05:07+03:00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