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أبو العباس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أبو العباس الجرجاني
</w:t>
      </w:r>
    </w:p>
    <w:p>
      <w:pPr/>
      <w:r>
        <w:rPr/>
        <w:t xml:space="preserve">أحمد بن محمد بن أحمد أبو العباس الجرجاني </w:t>
      </w:r>
    </w:p>
    <w:p/>
    <w:p>
      <w:pPr/>
      <w:r>
        <w:rPr/>
        <w:t xml:space="preserve">قاضي البصرة صاحب ’’التحرير’’، و’’الشافى’’، و’’البلغة’’، تفقه على الشيخ أبي إسحاق، وكان من الأعيان، مات سنة اثنين وثمانين وأربعمائة.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نصوم أيام السنة من عمرى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أسعد من أوطارها لرعة الصدر</w:t>
      </w:r>
    </w:p>
    <w:p/>
    <w:p>
      <w:pPr>
        <w:jc w:val="center"/>
      </w:pPr>
      <w:r>
        <w:rPr>
          <w:color w:val="ff0000"/>
        </w:rPr>
        <w:t xml:space="preserve">ولم أقضِ في أيامها وطر الصبى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لكثرة ما لاقيت من نوب الدهر</w:t>
      </w:r>
    </w:p>
    <w:p/>
    <w:p>
      <w:pPr>
        <w:jc w:val="center"/>
      </w:pPr>
      <w:r>
        <w:rPr>
          <w:color w:val="ff0000"/>
        </w:rPr>
        <w:t xml:space="preserve">ولا صالح الأعمال قدمت راجياً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بتقديمها نيل المثوبة والأجر</w:t>
      </w:r>
    </w:p>
    <w:p/>
    <w:p>
      <w:pPr>
        <w:jc w:val="center"/>
      </w:pPr>
      <w:r>
        <w:rPr>
          <w:color w:val="ff0000"/>
        </w:rPr>
        <w:t xml:space="preserve">ولو كنت أدرى كيف حالى بعدها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لهونت ما ألقى ومن لي بأن أدرى</w:t>
      </w:r>
    </w:p>
    <w:p/>
    <w:p>
      <w:pPr>
        <w:jc w:val="center"/>
      </w:pPr>
      <w:r>
        <w:rPr>
          <w:color w:val="ff0000"/>
        </w:rPr>
        <w:t xml:space="preserve">وإن يكن حالى في المشيب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الذى حواه شبابى فالبكا على عمرى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2026-10-08T00:28:01+03:00</dcterms:created>
  <dcterms:modified xsi:type="dcterms:W3CDTF">2026-10-08T00:28:01+03:00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