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الحضر القزوينى أبو منصور.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الحضر القزوينى أبو منصور.
</w:t>
      </w:r>
    </w:p>
    <w:p>
      <w:pPr/>
      <w:r>
        <w:rPr/>
        <w:t xml:space="preserve">محمد بن أحمد بن الحضر القزوينى أبو منصور. </w:t>
      </w:r>
    </w:p>
    <w:p/>
    <w:p>
      <w:pPr/>
      <w:r>
        <w:rPr/>
        <w:t xml:space="preserve">كان إماماً فاضلاً زاهداً، تفقه على الشيخ أبي حامد، ورد بغداد سنة إحدى وأربعمائة قاله ابن السمعاني.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2026-08-05T22:28:25+03:00</dcterms:created>
  <dcterms:modified xsi:type="dcterms:W3CDTF">2026-08-05T22:28:25+03:00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