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محمد الراذكالي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محمد الراذكالي
</w:t>
      </w:r>
    </w:p>
    <w:p>
      <w:pPr/>
      <w:r>
        <w:rPr/>
        <w:t xml:space="preserve">أحمد بن محمد أبو محمد الراذكالي </w:t>
      </w:r>
    </w:p>
    <w:p/>
    <w:p>
      <w:pPr/>
      <w:r>
        <w:rPr/>
        <w:t xml:space="preserve">شيخ الغزالي وبلديه، وهذه النسبة إلى قرية من قرى طوس. حكى ابن الصلاح عن تعليق أبي الحسن الخوارى عن أبي حامد هذا: أن قوماً فرقوا بين النجاسة على الثوب فلا تفتقر إلى النية أو على البدن فتفتقر إلى النية وهذه تفرقة غريبة.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