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القاضي أبو الحسن البيضاوي
</w:t>
      </w:r>
    </w:p>
    <w:p>
      <w:pPr>
        <w:jc w:val="start"/>
        <w:bidi/>
      </w:pPr>
      <w:r>
        <w:rPr>
          <w:rFonts w:ascii="arial" w:hAnsi="arial" w:eastAsia="arial" w:cs="arial"/>
          <w:sz w:val="28"/>
          <w:szCs w:val="28"/>
          <w:b w:val="1"/>
          <w:bCs w:val="1"/>
          <w:rtl/>
        </w:rPr>
        <w:t xml:space="preserve">محمد بن محمد بن عبد اللَّه القاضي أبو الحسن البيضاوي
</w:t>
      </w:r>
    </w:p>
    <w:p>
      <w:pPr/>
      <w:r>
        <w:rPr/>
        <w:t xml:space="preserve">محمد بن محمد بن عبد اللَّه القاضي أبو الحسن البيضاوي </w:t>
      </w:r>
    </w:p>
    <w:p/>
    <w:p>
      <w:pPr/>
      <w:r>
        <w:rPr/>
        <w:t xml:space="preserve">قاضي الكرخ تلميذ أبي الطب الطبري وختنه، مات سنة ثمان وستين وأربعمائة عن ست وسبعين سنة، وولده محمد أيضاً ولى القضاء بالجانب الشرقى ببغداد نيابة عن جده القاضي أبي الطيب قال عبد الملك الهمدانى: لم أرَ أذكى منه. توفي سنة سبعين وأربعمائة عن نيِّف وأربعين سنة، ودفن إلى جانب ابنه بمقبرة باب حرب ذكره التفليسي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2026-10-08T01:00:41+03:00</dcterms:created>
  <dcterms:modified xsi:type="dcterms:W3CDTF">2026-10-08T01:00:41+03:00</dcterms:modified>
</cp:coreProperties>
</file>

<file path=docProps/custom.xml><?xml version="1.0" encoding="utf-8"?>
<Properties xmlns="http://schemas.openxmlformats.org/officeDocument/2006/custom-properties" xmlns:vt="http://schemas.openxmlformats.org/officeDocument/2006/docPropsVTypes"/>
</file>