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حسين بن علي أبو الحسن الباخرزي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حسين بن علي أبو الحسن الباخرزي
</w:t>
      </w:r>
    </w:p>
    <w:p>
      <w:pPr/>
      <w:r>
        <w:rPr/>
        <w:t xml:space="preserve">علي بن حسين بن علي أبو الحسن الباخرزي </w:t>
      </w:r>
    </w:p>
    <w:p/>
    <w:p>
      <w:pPr/>
      <w:r>
        <w:rPr/>
        <w:t xml:space="preserve">الأديب تفقه بالجويني ثم لزم الأدب، له مصنف كالذيل على ’’يتيمة الدهر’’ للثعالبي سماه ’’دمية القصر في شعر العصر’’ ومن شعره:</w:t>
      </w:r>
    </w:p>
    <w:p/>
    <w:p>
      <w:pPr>
        <w:jc w:val="center"/>
      </w:pPr>
      <w:r>
        <w:rPr>
          <w:color w:val="ff0000"/>
        </w:rPr>
        <w:t xml:space="preserve">يَا فَالقَ الصُبْحِ من لألاء غُرَّتِه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وجاء اللَّيلُ مِن أصْداغِه سَكَنَا</w:t>
      </w:r>
    </w:p>
    <w:p/>
    <w:p>
      <w:pPr>
        <w:jc w:val="center"/>
      </w:pPr>
      <w:r>
        <w:rPr>
          <w:color w:val="ff0000"/>
        </w:rPr>
        <w:t xml:space="preserve">بصورة الوثن استعبدتنى وبها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فتنتنى وقديما هِجْتَ لي شَجَنَا</w:t>
      </w:r>
    </w:p>
    <w:p/>
    <w:p>
      <w:pPr>
        <w:jc w:val="center"/>
      </w:pPr>
      <w:r>
        <w:rPr>
          <w:color w:val="ff0000"/>
        </w:rPr>
        <w:t xml:space="preserve">لا غَرْوَ إن أحرقت نارُ الهوى كبِدى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فالنّار حقٌّ على مَنْ يعبد الوَثَنَا</w:t>
      </w:r>
    </w:p>
    <w:p/>
    <w:p>
      <w:pPr/>
      <w:r>
        <w:rPr/>
        <w:t xml:space="preserve">قتل بأحرور وهى من نواحى نيسابور سنة سبع وستين وأربعمائة وهدر دمه.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2026-08-05T21:30:05+03:00</dcterms:created>
  <dcterms:modified xsi:type="dcterms:W3CDTF">2026-08-05T21:30:05+03:00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