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الصائغ الخلال.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الصائغ الخلال.
</w:t>
      </w:r>
    </w:p>
    <w:p>
      <w:pPr/>
      <w:r>
        <w:rPr/>
        <w:t xml:space="preserve">محمد بن الحسن الصائغ الخلال. </w:t>
      </w:r>
    </w:p>
    <w:p/>
    <w:p>
      <w:pPr/>
      <w:r>
        <w:rPr/>
        <w:t xml:space="preserve">صاحب كتاب ’’العراقيين’’، ذكره العبادي في طبقة الخضرى ونظرائه، وهو القائل بأن الحامل إذا جاءت بولدين واحتاحت إلى الفطر يلزمها فدية واحدة.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2026-08-06T00:53:33+03:00</dcterms:created>
  <dcterms:modified xsi:type="dcterms:W3CDTF">2026-08-06T00:53:33+03:00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