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الحسن الصائغ الخلال.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الحسن الصائغ الخلال.
</w:t>
      </w:r>
    </w:p>
    <w:p>
      <w:pPr/>
      <w:r>
        <w:rPr/>
        <w:t xml:space="preserve">محمد بن الحسن الصائغ الخلال. </w:t>
      </w:r>
    </w:p>
    <w:p/>
    <w:p>
      <w:pPr/>
      <w:r>
        <w:rPr/>
        <w:t xml:space="preserve">صاحب كتاب ’’العراقيين’’، ذكره العبادي في طبقة الخضرى ونظرائه، وهو القائل بأن الحامل إذا جاءت بولدين واحتاحت إلى الفطر يلزمها فدية واحدة.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2026-10-08T01:29:26+03:00</dcterms:created>
  <dcterms:modified xsi:type="dcterms:W3CDTF">2026-10-08T01:29:26+03:00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