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القاضي أبو عاصم العبادي.
</w:t>
      </w:r>
    </w:p>
    <w:p>
      <w:pPr>
        <w:jc w:val="start"/>
        <w:bidi/>
      </w:pPr>
      <w:r>
        <w:rPr>
          <w:rFonts w:ascii="arial" w:hAnsi="arial" w:eastAsia="arial" w:cs="arial"/>
          <w:sz w:val="28"/>
          <w:szCs w:val="28"/>
          <w:b w:val="1"/>
          <w:bCs w:val="1"/>
          <w:rtl/>
        </w:rPr>
        <w:t xml:space="preserve">محمد بن أحمد القاضي أبو عاصم العبادي.
</w:t>
      </w:r>
    </w:p>
    <w:p>
      <w:pPr/>
      <w:r>
        <w:rPr/>
        <w:t xml:space="preserve">محمد بن أحمد القاضي أبو عاصم العبادي. </w:t>
      </w:r>
    </w:p>
    <w:p/>
    <w:p>
      <w:pPr/>
      <w:r>
        <w:rPr/>
        <w:t xml:space="preserve">نسبة إلى جدٍّ له اسمه عباد الهروي أحد الأعيان، أخذ الفقه عن الأستاذ أبي طاهر وأبى عمر البسطامى، وغيرهما، وصنف ’’المبسوط’’، و’’الهادى’’ و’’أدب القاضي’’، و’’المياه’’، و’’الأطعمة’’، و’’زيادات الزيادات’’، و’’طبقات الفقهاء’’، مات سنة ثمان وخمسين وأربعمائة عن ثلاث وثمانين سنة. قلت: وولده أبو الحسن صاحب ’’الرقم’’ من أئمة أصحابنا المراوزة، ولد سنة خمس وأربعمائة، ومات سنة خمس وتسعين.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2026-10-08T01:03:37+03:00</dcterms:created>
  <dcterms:modified xsi:type="dcterms:W3CDTF">2026-10-08T01:03:37+03:00</dcterms:modified>
</cp:coreProperties>
</file>

<file path=docProps/custom.xml><?xml version="1.0" encoding="utf-8"?>
<Properties xmlns="http://schemas.openxmlformats.org/officeDocument/2006/custom-properties" xmlns:vt="http://schemas.openxmlformats.org/officeDocument/2006/docPropsVTypes"/>
</file>