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اللَّه بن أحمد بن إسحاق أبو نعيم الأصبهاني
</w:t>
      </w:r>
    </w:p>
    <w:p>
      <w:pPr>
        <w:jc w:val="start"/>
        <w:bidi/>
      </w:pPr>
      <w:r>
        <w:rPr>
          <w:rFonts w:ascii="arial" w:hAnsi="arial" w:eastAsia="arial" w:cs="arial"/>
          <w:sz w:val="28"/>
          <w:szCs w:val="28"/>
          <w:b w:val="1"/>
          <w:bCs w:val="1"/>
          <w:rtl/>
        </w:rPr>
        <w:t xml:space="preserve">أحمد بن عبد اللَّه بن أحمد بن إسحاق أبو نعيم الأصبهاني
</w:t>
      </w:r>
    </w:p>
    <w:p>
      <w:pPr/>
      <w:r>
        <w:rPr/>
        <w:t xml:space="preserve">أحمد بن عبد اللَّه بن أحمد بن إسحاق أبو نعيم الأصبهاني </w:t>
      </w:r>
    </w:p>
    <w:p/>
    <w:p>
      <w:pPr/>
      <w:r>
        <w:rPr/>
        <w:t xml:space="preserve">الحافظ الجامع بين الفقه والحديث والتصوف، قال الخطيب: لم ألق في مشايخى أحفظ منه ومن أبي حازم الأعرج، ولد في رجب سنة ستّ وثلاثين وثلثمائة، ومات سنة ثلاثين وأربعمائة، له ’’الحلية’’، و’’طبقات الأصفياء’’، وغيرها. ذكره في الروضة في مسألة الإجارة.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2026-10-08T01:46:28+03:00</dcterms:created>
  <dcterms:modified xsi:type="dcterms:W3CDTF">2026-10-08T01:46:28+03:00</dcterms:modified>
</cp:coreProperties>
</file>

<file path=docProps/custom.xml><?xml version="1.0" encoding="utf-8"?>
<Properties xmlns="http://schemas.openxmlformats.org/officeDocument/2006/custom-properties" xmlns:vt="http://schemas.openxmlformats.org/officeDocument/2006/docPropsVTypes"/>
</file>